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DF4" w:rsidRPr="00474F68" w:rsidRDefault="00E17DF4" w:rsidP="00E17DF4">
      <w:pPr>
        <w:spacing w:line="440" w:lineRule="exact"/>
        <w:jc w:val="center"/>
        <w:outlineLvl w:val="0"/>
        <w:rPr>
          <w:rFonts w:ascii="方正小标宋简体" w:eastAsia="方正小标宋简体" w:hAnsi="宋体" w:cs="宋体"/>
          <w:bCs/>
          <w:sz w:val="36"/>
          <w:szCs w:val="32"/>
        </w:rPr>
      </w:pPr>
      <w:r>
        <w:rPr>
          <w:rFonts w:ascii="方正小标宋简体" w:eastAsia="方正小标宋简体" w:hAnsi="宋体" w:cs="宋体" w:hint="eastAsia"/>
          <w:bCs/>
          <w:sz w:val="36"/>
          <w:szCs w:val="32"/>
        </w:rPr>
        <w:t>2025年</w:t>
      </w:r>
      <w:r w:rsidRPr="00474F68">
        <w:rPr>
          <w:rFonts w:ascii="方正小标宋简体" w:eastAsia="方正小标宋简体" w:hAnsi="宋体" w:cs="宋体" w:hint="eastAsia"/>
          <w:bCs/>
          <w:sz w:val="36"/>
          <w:szCs w:val="32"/>
        </w:rPr>
        <w:t>考试内容范围说明</w:t>
      </w:r>
    </w:p>
    <w:p w:rsidR="00E17DF4" w:rsidRPr="00E874D9" w:rsidRDefault="00E17DF4" w:rsidP="00E17DF4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:rsidR="00E17DF4" w:rsidRPr="00445EDA" w:rsidRDefault="00E17DF4" w:rsidP="00E17DF4">
      <w:pPr>
        <w:adjustRightInd w:val="0"/>
        <w:snapToGrid w:val="0"/>
        <w:rPr>
          <w:rFonts w:ascii="宋体" w:hAnsi="宋体"/>
          <w:b/>
          <w:sz w:val="24"/>
        </w:rPr>
      </w:pPr>
      <w:r w:rsidRPr="00E874D9">
        <w:rPr>
          <w:rFonts w:ascii="宋体" w:hAnsi="宋体" w:hint="eastAsia"/>
          <w:b/>
          <w:sz w:val="24"/>
        </w:rPr>
        <w:t>考试科目名称:</w:t>
      </w:r>
      <w:r>
        <w:rPr>
          <w:rFonts w:ascii="宋体" w:hAnsi="宋体"/>
          <w:b/>
          <w:sz w:val="24"/>
        </w:rPr>
        <w:t xml:space="preserve"> </w:t>
      </w:r>
      <w:r w:rsidR="00673E09">
        <w:rPr>
          <w:rFonts w:ascii="宋体" w:hAnsi="宋体" w:hint="eastAsia"/>
          <w:b/>
          <w:sz w:val="24"/>
        </w:rPr>
        <w:t>电化学原理</w:t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/>
          <w:b/>
          <w:sz w:val="24"/>
        </w:rPr>
        <w:t xml:space="preserve"> </w:t>
      </w:r>
      <w:r>
        <w:rPr>
          <w:rFonts w:ascii="Segoe UI Emoji" w:eastAsia="Segoe UI Emoji" w:hAnsi="Segoe UI Emoji" w:cs="Segoe UI Emoji" w:hint="eastAsia"/>
          <w:b/>
          <w:sz w:val="24"/>
        </w:rPr>
        <w:t>□</w:t>
      </w:r>
      <w:r>
        <w:rPr>
          <w:rFonts w:ascii="宋体" w:hAnsi="宋体" w:hint="eastAsia"/>
          <w:b/>
          <w:sz w:val="24"/>
        </w:rPr>
        <w:t xml:space="preserve">初试  </w:t>
      </w:r>
      <w:r w:rsidR="00673E09">
        <w:rPr>
          <w:rFonts w:ascii="宋体" w:hAnsi="宋体" w:hint="eastAsia"/>
          <w:b/>
          <w:sz w:val="24"/>
        </w:rPr>
        <w:sym w:font="Wingdings" w:char="F0FE"/>
      </w:r>
      <w:r>
        <w:rPr>
          <w:rFonts w:ascii="宋体" w:hAnsi="宋体" w:hint="eastAsia"/>
          <w:b/>
          <w:sz w:val="24"/>
        </w:rPr>
        <w:t xml:space="preserve">复试  </w:t>
      </w:r>
      <w:r w:rsidRPr="00445EDA">
        <w:rPr>
          <w:rFonts w:ascii="宋体" w:hAnsi="宋体" w:hint="eastAsia"/>
          <w:b/>
          <w:sz w:val="24"/>
        </w:rPr>
        <w:t>□加试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E17DF4" w:rsidRPr="00E874D9" w:rsidTr="0093075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F4" w:rsidRPr="00E874D9" w:rsidRDefault="00E17DF4" w:rsidP="00930752">
            <w:pPr>
              <w:rPr>
                <w:rFonts w:ascii="宋体" w:hAnsi="宋体"/>
                <w:sz w:val="24"/>
              </w:rPr>
            </w:pPr>
            <w:r w:rsidRPr="00E874D9">
              <w:rPr>
                <w:rFonts w:ascii="宋体" w:hAnsi="宋体" w:hint="eastAsia"/>
                <w:sz w:val="24"/>
              </w:rPr>
              <w:t>考试内容范围:</w:t>
            </w:r>
          </w:p>
          <w:p w:rsidR="00E17DF4" w:rsidRPr="00E874D9" w:rsidRDefault="00673E09" w:rsidP="00E17DF4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 w:rsidRPr="00673E09">
              <w:rPr>
                <w:rFonts w:hint="eastAsia"/>
                <w:sz w:val="24"/>
              </w:rPr>
              <w:t>电化学热力学和动力学概述</w:t>
            </w:r>
          </w:p>
          <w:p w:rsidR="00547F5C" w:rsidRDefault="00E17DF4" w:rsidP="00C320AD">
            <w:pPr>
              <w:numPr>
                <w:ilvl w:val="0"/>
                <w:numId w:val="2"/>
              </w:numPr>
              <w:spacing w:line="380" w:lineRule="exact"/>
            </w:pPr>
            <w:r w:rsidRPr="00E874D9">
              <w:rPr>
                <w:rFonts w:hint="eastAsia"/>
              </w:rPr>
              <w:t>要求考生熟练</w:t>
            </w:r>
            <w:r w:rsidR="00547F5C">
              <w:rPr>
                <w:rFonts w:hint="eastAsia"/>
              </w:rPr>
              <w:t>了解相间电位和电极电位</w:t>
            </w:r>
            <w:r w:rsidR="00C320AD">
              <w:rPr>
                <w:rFonts w:hint="eastAsia"/>
              </w:rPr>
              <w:t>以及电化学体系。</w:t>
            </w:r>
          </w:p>
          <w:p w:rsidR="00547F5C" w:rsidRDefault="00C320AD" w:rsidP="00547F5C">
            <w:pPr>
              <w:numPr>
                <w:ilvl w:val="0"/>
                <w:numId w:val="2"/>
              </w:numPr>
              <w:spacing w:line="380" w:lineRule="exact"/>
            </w:pPr>
            <w:r w:rsidRPr="00E874D9">
              <w:rPr>
                <w:rFonts w:hint="eastAsia"/>
              </w:rPr>
              <w:t>要求考生熟练</w:t>
            </w:r>
            <w:r>
              <w:rPr>
                <w:rFonts w:hint="eastAsia"/>
              </w:rPr>
              <w:t>掌握</w:t>
            </w:r>
            <w:r w:rsidR="00547F5C">
              <w:rPr>
                <w:rFonts w:hint="eastAsia"/>
              </w:rPr>
              <w:t>可逆电极</w:t>
            </w:r>
            <w:r>
              <w:rPr>
                <w:rFonts w:hint="eastAsia"/>
              </w:rPr>
              <w:t>、</w:t>
            </w:r>
            <w:r w:rsidR="00547F5C">
              <w:rPr>
                <w:rFonts w:hint="eastAsia"/>
              </w:rPr>
              <w:t>平衡电极电位</w:t>
            </w:r>
            <w:r>
              <w:rPr>
                <w:rFonts w:hint="eastAsia"/>
              </w:rPr>
              <w:t>以及不可逆电极及其电位。</w:t>
            </w:r>
          </w:p>
          <w:p w:rsidR="00C320AD" w:rsidRDefault="00C320AD" w:rsidP="00C320AD">
            <w:pPr>
              <w:numPr>
                <w:ilvl w:val="0"/>
                <w:numId w:val="2"/>
              </w:numPr>
              <w:spacing w:line="380" w:lineRule="exact"/>
            </w:pPr>
            <w:r w:rsidRPr="00E874D9">
              <w:rPr>
                <w:rFonts w:hint="eastAsia"/>
              </w:rPr>
              <w:t>要求考生熟练</w:t>
            </w:r>
            <w:r>
              <w:rPr>
                <w:rFonts w:hint="eastAsia"/>
              </w:rPr>
              <w:t>掌握</w:t>
            </w:r>
            <w:r w:rsidR="00547F5C">
              <w:rPr>
                <w:rFonts w:hint="eastAsia"/>
              </w:rPr>
              <w:t>原电池和电解池的极化现象</w:t>
            </w:r>
            <w:r>
              <w:rPr>
                <w:rFonts w:hint="eastAsia"/>
              </w:rPr>
              <w:t>。</w:t>
            </w:r>
          </w:p>
          <w:p w:rsidR="00547F5C" w:rsidRDefault="00C320AD" w:rsidP="00C320AD">
            <w:pPr>
              <w:numPr>
                <w:ilvl w:val="0"/>
                <w:numId w:val="2"/>
              </w:numPr>
              <w:spacing w:line="380" w:lineRule="exact"/>
            </w:pPr>
            <w:r w:rsidRPr="00E874D9">
              <w:rPr>
                <w:rFonts w:hint="eastAsia"/>
              </w:rPr>
              <w:t>要求考生熟练</w:t>
            </w:r>
            <w:r>
              <w:rPr>
                <w:rFonts w:hint="eastAsia"/>
              </w:rPr>
              <w:t>掌握</w:t>
            </w:r>
            <w:r w:rsidR="00547F5C">
              <w:rPr>
                <w:rFonts w:hint="eastAsia"/>
              </w:rPr>
              <w:t>电极过程的基本历程和速度控制步骤</w:t>
            </w:r>
            <w:r>
              <w:rPr>
                <w:rFonts w:hint="eastAsia"/>
              </w:rPr>
              <w:t>及电极过程的特征</w:t>
            </w:r>
          </w:p>
          <w:p w:rsidR="00C320AD" w:rsidRDefault="00C320AD" w:rsidP="00C320AD">
            <w:pPr>
              <w:numPr>
                <w:ilvl w:val="0"/>
                <w:numId w:val="1"/>
              </w:numPr>
              <w:spacing w:line="380" w:lineRule="exact"/>
            </w:pPr>
            <w:r w:rsidRPr="00C320AD">
              <w:rPr>
                <w:rFonts w:hint="eastAsia"/>
                <w:sz w:val="24"/>
              </w:rPr>
              <w:t>电极</w:t>
            </w:r>
            <w:r w:rsidRPr="00C320AD">
              <w:rPr>
                <w:rFonts w:hint="eastAsia"/>
                <w:sz w:val="24"/>
              </w:rPr>
              <w:t>/</w:t>
            </w:r>
            <w:r w:rsidRPr="00C320AD">
              <w:rPr>
                <w:rFonts w:hint="eastAsia"/>
                <w:sz w:val="24"/>
              </w:rPr>
              <w:t>溶液界面的结构与性质</w:t>
            </w:r>
          </w:p>
          <w:p w:rsidR="00C320AD" w:rsidRDefault="00C320AD" w:rsidP="00C320AD">
            <w:pPr>
              <w:numPr>
                <w:ilvl w:val="0"/>
                <w:numId w:val="9"/>
              </w:numPr>
              <w:spacing w:line="380" w:lineRule="exact"/>
            </w:pPr>
            <w:r w:rsidRPr="00E874D9">
              <w:rPr>
                <w:rFonts w:hint="eastAsia"/>
              </w:rPr>
              <w:t>要求考生熟练</w:t>
            </w:r>
            <w:r>
              <w:rPr>
                <w:rFonts w:hint="eastAsia"/>
              </w:rPr>
              <w:t>掌握电毛细现象。</w:t>
            </w:r>
          </w:p>
          <w:p w:rsidR="00C320AD" w:rsidRDefault="00C320AD" w:rsidP="00C320AD">
            <w:pPr>
              <w:numPr>
                <w:ilvl w:val="0"/>
                <w:numId w:val="9"/>
              </w:numPr>
              <w:spacing w:line="380" w:lineRule="exact"/>
            </w:pPr>
            <w:r w:rsidRPr="00E874D9">
              <w:rPr>
                <w:rFonts w:hint="eastAsia"/>
              </w:rPr>
              <w:t>要求考生熟练</w:t>
            </w:r>
            <w:r>
              <w:rPr>
                <w:rFonts w:hint="eastAsia"/>
              </w:rPr>
              <w:t>掌握双电层微分电容及其结构。</w:t>
            </w:r>
          </w:p>
          <w:p w:rsidR="00E17DF4" w:rsidRPr="00E874D9" w:rsidRDefault="00C320AD" w:rsidP="00930752">
            <w:pPr>
              <w:numPr>
                <w:ilvl w:val="0"/>
                <w:numId w:val="9"/>
              </w:numPr>
              <w:spacing w:line="380" w:lineRule="exact"/>
            </w:pPr>
            <w:r w:rsidRPr="00E874D9">
              <w:rPr>
                <w:rFonts w:hint="eastAsia"/>
              </w:rPr>
              <w:t>要求考生熟练</w:t>
            </w:r>
            <w:r>
              <w:rPr>
                <w:rFonts w:hint="eastAsia"/>
              </w:rPr>
              <w:t>掌握双电层的结构、零电荷电位以及电极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溶液界面的吸附现象</w:t>
            </w:r>
          </w:p>
          <w:p w:rsidR="00C320AD" w:rsidRPr="00C320AD" w:rsidRDefault="00C320AD" w:rsidP="00C320AD">
            <w:pPr>
              <w:numPr>
                <w:ilvl w:val="0"/>
                <w:numId w:val="1"/>
              </w:numPr>
              <w:spacing w:line="380" w:lineRule="exact"/>
            </w:pPr>
            <w:r w:rsidRPr="00C320AD">
              <w:rPr>
                <w:rFonts w:hint="eastAsia"/>
                <w:sz w:val="24"/>
              </w:rPr>
              <w:t>液相传质步骤动力学</w:t>
            </w:r>
          </w:p>
          <w:p w:rsidR="00C320AD" w:rsidRDefault="00C320AD" w:rsidP="00C320AD">
            <w:pPr>
              <w:spacing w:line="380" w:lineRule="exact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 w:rsidRPr="00C320AD">
              <w:rPr>
                <w:rFonts w:hint="eastAsia"/>
              </w:rPr>
              <w:t>要求考生熟练掌握液相传质的三种方式</w:t>
            </w:r>
            <w:r>
              <w:rPr>
                <w:rFonts w:hint="eastAsia"/>
              </w:rPr>
              <w:t>。</w:t>
            </w:r>
          </w:p>
          <w:p w:rsidR="00C320AD" w:rsidRDefault="00C320AD" w:rsidP="00C320AD">
            <w:pPr>
              <w:spacing w:line="380" w:lineRule="exact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 w:rsidRPr="00C320AD">
              <w:rPr>
                <w:rFonts w:hint="eastAsia"/>
              </w:rPr>
              <w:t>要求考生熟练掌握稳态扩散过程</w:t>
            </w:r>
            <w:r>
              <w:rPr>
                <w:rFonts w:hint="eastAsia"/>
              </w:rPr>
              <w:t>以及非稳态扩散过程。</w:t>
            </w:r>
          </w:p>
          <w:p w:rsidR="00E17DF4" w:rsidRPr="00E874D9" w:rsidRDefault="00C320AD" w:rsidP="00C320AD">
            <w:pPr>
              <w:spacing w:line="380" w:lineRule="exact"/>
            </w:pPr>
            <w:r>
              <w:rPr>
                <w:rFonts w:hint="eastAsia"/>
              </w:rPr>
              <w:t>3.</w:t>
            </w:r>
            <w:r>
              <w:t xml:space="preserve"> </w:t>
            </w:r>
            <w:r w:rsidRPr="00C320AD">
              <w:rPr>
                <w:rFonts w:hint="eastAsia"/>
              </w:rPr>
              <w:t>要求考生熟练掌握浓差极化规律及其判别</w:t>
            </w:r>
            <w:r>
              <w:rPr>
                <w:rFonts w:hint="eastAsia"/>
              </w:rPr>
              <w:t>方式。</w:t>
            </w:r>
          </w:p>
          <w:p w:rsidR="00E17DF4" w:rsidRPr="00516971" w:rsidRDefault="00516971" w:rsidP="00516971">
            <w:pPr>
              <w:numPr>
                <w:ilvl w:val="0"/>
                <w:numId w:val="1"/>
              </w:numPr>
              <w:tabs>
                <w:tab w:val="left" w:pos="735"/>
              </w:tabs>
              <w:spacing w:line="380" w:lineRule="exact"/>
              <w:rPr>
                <w:sz w:val="24"/>
              </w:rPr>
            </w:pPr>
            <w:r w:rsidRPr="00516971">
              <w:rPr>
                <w:rFonts w:hint="eastAsia"/>
                <w:sz w:val="24"/>
              </w:rPr>
              <w:t>电子转移步骤动力学</w:t>
            </w:r>
          </w:p>
          <w:p w:rsidR="00516971" w:rsidRPr="00516971" w:rsidRDefault="00516971" w:rsidP="00516971">
            <w:pPr>
              <w:spacing w:line="380" w:lineRule="exact"/>
            </w:pPr>
            <w:r>
              <w:rPr>
                <w:rFonts w:hint="eastAsia"/>
              </w:rPr>
              <w:t>1.</w:t>
            </w:r>
            <w:r>
              <w:t xml:space="preserve"> </w:t>
            </w:r>
            <w:r w:rsidR="00E17DF4" w:rsidRPr="00E874D9">
              <w:rPr>
                <w:rFonts w:hint="eastAsia"/>
              </w:rPr>
              <w:t>要求考生熟练掌握</w:t>
            </w:r>
            <w:r w:rsidRPr="00516971">
              <w:t>电极电位对电子转移步骤反应速度的影响</w:t>
            </w:r>
            <w:r>
              <w:rPr>
                <w:rFonts w:hint="eastAsia"/>
              </w:rPr>
              <w:t>。</w:t>
            </w:r>
          </w:p>
          <w:p w:rsidR="00516971" w:rsidRPr="00516971" w:rsidRDefault="00516971" w:rsidP="00516971">
            <w:pPr>
              <w:spacing w:line="380" w:lineRule="exact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 w:rsidRPr="00E874D9">
              <w:rPr>
                <w:rFonts w:hint="eastAsia"/>
              </w:rPr>
              <w:t>要求考生熟练掌握</w:t>
            </w:r>
            <w:r w:rsidRPr="00516971">
              <w:t>电子转移步骤的基本动力学参数</w:t>
            </w:r>
            <w:r>
              <w:rPr>
                <w:rFonts w:hint="eastAsia"/>
              </w:rPr>
              <w:t>。</w:t>
            </w:r>
          </w:p>
          <w:p w:rsidR="00516971" w:rsidRPr="00516971" w:rsidRDefault="00516971" w:rsidP="00516971">
            <w:pPr>
              <w:spacing w:line="380" w:lineRule="exact"/>
            </w:pPr>
            <w:r w:rsidRPr="00516971">
              <w:rPr>
                <w:rFonts w:hint="eastAsia"/>
              </w:rPr>
              <w:t>3.</w:t>
            </w:r>
            <w:r>
              <w:t xml:space="preserve"> </w:t>
            </w:r>
            <w:r w:rsidRPr="00E874D9">
              <w:rPr>
                <w:rFonts w:hint="eastAsia"/>
              </w:rPr>
              <w:t>要求考生熟练掌握</w:t>
            </w:r>
            <w:r w:rsidRPr="00516971">
              <w:t>稳态电化学极化规律</w:t>
            </w:r>
            <w:r>
              <w:rPr>
                <w:rFonts w:hint="eastAsia"/>
              </w:rPr>
              <w:t>。</w:t>
            </w:r>
          </w:p>
          <w:p w:rsidR="00516971" w:rsidRPr="00516971" w:rsidRDefault="00516971" w:rsidP="00516971">
            <w:pPr>
              <w:spacing w:line="380" w:lineRule="exact"/>
            </w:pPr>
            <w:r w:rsidRPr="00516971">
              <w:rPr>
                <w:rFonts w:hint="eastAsia"/>
              </w:rPr>
              <w:t>4.</w:t>
            </w:r>
            <w:r>
              <w:t xml:space="preserve"> </w:t>
            </w:r>
            <w:r w:rsidRPr="00E874D9">
              <w:rPr>
                <w:rFonts w:hint="eastAsia"/>
              </w:rPr>
              <w:t>要求考生熟练掌握</w:t>
            </w:r>
            <w:r w:rsidRPr="00516971">
              <w:t>双电层结构对电化学反应速度的影响</w:t>
            </w:r>
            <w:r>
              <w:rPr>
                <w:rFonts w:hint="eastAsia"/>
              </w:rPr>
              <w:t>。</w:t>
            </w:r>
          </w:p>
          <w:p w:rsidR="00E17DF4" w:rsidRDefault="00516971" w:rsidP="00516971">
            <w:pPr>
              <w:spacing w:line="380" w:lineRule="exact"/>
            </w:pPr>
            <w:r w:rsidRPr="00516971">
              <w:rPr>
                <w:rFonts w:hint="eastAsia"/>
              </w:rPr>
              <w:t>5.</w:t>
            </w:r>
            <w:r>
              <w:t xml:space="preserve"> </w:t>
            </w:r>
            <w:r w:rsidRPr="00E874D9">
              <w:rPr>
                <w:rFonts w:hint="eastAsia"/>
              </w:rPr>
              <w:t>要求考生熟练掌握</w:t>
            </w:r>
            <w:r w:rsidRPr="00516971">
              <w:t>稳态</w:t>
            </w:r>
            <w:r w:rsidRPr="00516971">
              <w:rPr>
                <w:rFonts w:hint="eastAsia"/>
              </w:rPr>
              <w:t>混合</w:t>
            </w:r>
            <w:r w:rsidRPr="00516971">
              <w:t>控制时的动力学规律</w:t>
            </w:r>
            <w:r>
              <w:rPr>
                <w:rFonts w:hint="eastAsia"/>
              </w:rPr>
              <w:t>。</w:t>
            </w:r>
          </w:p>
          <w:p w:rsidR="00E17DF4" w:rsidRPr="00E874D9" w:rsidRDefault="00516971" w:rsidP="00516971">
            <w:pPr>
              <w:spacing w:line="380" w:lineRule="exact"/>
            </w:pPr>
            <w:r>
              <w:rPr>
                <w:rFonts w:hint="eastAsia"/>
              </w:rPr>
              <w:t>6.</w:t>
            </w:r>
            <w:r>
              <w:t xml:space="preserve"> </w:t>
            </w:r>
            <w:r w:rsidRPr="00E874D9">
              <w:rPr>
                <w:rFonts w:hint="eastAsia"/>
              </w:rPr>
              <w:t>要求考生熟练掌握</w:t>
            </w:r>
            <w:proofErr w:type="gramStart"/>
            <w:r>
              <w:rPr>
                <w:rFonts w:hint="eastAsia"/>
              </w:rPr>
              <w:t>多电子</w:t>
            </w:r>
            <w:proofErr w:type="gramEnd"/>
            <w:r>
              <w:rPr>
                <w:rFonts w:hint="eastAsia"/>
              </w:rPr>
              <w:t>电极反应。</w:t>
            </w:r>
          </w:p>
          <w:p w:rsidR="00E17DF4" w:rsidRPr="00E874D9" w:rsidRDefault="00516971" w:rsidP="00930752">
            <w:pPr>
              <w:widowControl/>
              <w:jc w:val="left"/>
            </w:pPr>
            <w:r>
              <w:rPr>
                <w:rFonts w:hint="eastAsia"/>
                <w:sz w:val="24"/>
              </w:rPr>
              <w:t>五、氢电极反应</w:t>
            </w:r>
          </w:p>
          <w:p w:rsidR="00516971" w:rsidRDefault="00E17DF4" w:rsidP="00516971">
            <w:pPr>
              <w:widowControl/>
              <w:jc w:val="left"/>
            </w:pPr>
            <w:r w:rsidRPr="00E874D9">
              <w:rPr>
                <w:rFonts w:hint="eastAsia"/>
              </w:rPr>
              <w:t>1.</w:t>
            </w:r>
            <w:r w:rsidR="00516971">
              <w:t xml:space="preserve"> </w:t>
            </w:r>
            <w:r w:rsidRPr="00E874D9">
              <w:rPr>
                <w:rFonts w:hint="eastAsia"/>
              </w:rPr>
              <w:t>要求考生了解</w:t>
            </w:r>
            <w:r w:rsidR="00516971">
              <w:rPr>
                <w:rFonts w:hint="eastAsia"/>
              </w:rPr>
              <w:t>氢离子在阴极上的还原过程。</w:t>
            </w:r>
          </w:p>
          <w:p w:rsidR="00E17DF4" w:rsidRPr="00E874D9" w:rsidRDefault="00516971" w:rsidP="00516971">
            <w:pPr>
              <w:widowControl/>
              <w:jc w:val="left"/>
            </w:pPr>
            <w:r>
              <w:rPr>
                <w:rFonts w:hint="eastAsia"/>
              </w:rPr>
              <w:t>2.</w:t>
            </w:r>
            <w:r>
              <w:t xml:space="preserve"> </w:t>
            </w:r>
            <w:r w:rsidRPr="00E874D9">
              <w:rPr>
                <w:rFonts w:hint="eastAsia"/>
              </w:rPr>
              <w:t>要求考生了解</w:t>
            </w:r>
            <w:r>
              <w:rPr>
                <w:rFonts w:hint="eastAsia"/>
              </w:rPr>
              <w:t>析氢过电位及其影响因素以及析</w:t>
            </w:r>
            <w:proofErr w:type="gramStart"/>
            <w:r>
              <w:rPr>
                <w:rFonts w:hint="eastAsia"/>
              </w:rPr>
              <w:t>氢反应</w:t>
            </w:r>
            <w:proofErr w:type="gramEnd"/>
            <w:r>
              <w:rPr>
                <w:rFonts w:hint="eastAsia"/>
              </w:rPr>
              <w:t>过程的机理。</w:t>
            </w:r>
          </w:p>
          <w:p w:rsidR="00E17DF4" w:rsidRPr="00516971" w:rsidRDefault="00516971" w:rsidP="00930752">
            <w:pPr>
              <w:widowControl/>
              <w:jc w:val="left"/>
            </w:pPr>
            <w:r>
              <w:rPr>
                <w:rFonts w:hint="eastAsia"/>
              </w:rPr>
              <w:t>3.</w:t>
            </w:r>
            <w:r>
              <w:t xml:space="preserve"> </w:t>
            </w:r>
            <w:r w:rsidR="00E17DF4" w:rsidRPr="00E874D9">
              <w:rPr>
                <w:rFonts w:hint="eastAsia"/>
              </w:rPr>
              <w:t>要求考生熟练掌握</w:t>
            </w:r>
            <w:r>
              <w:rPr>
                <w:rFonts w:hint="eastAsia"/>
              </w:rPr>
              <w:t>氢电极的阳极过程。</w:t>
            </w:r>
          </w:p>
        </w:tc>
      </w:tr>
      <w:tr w:rsidR="00E17DF4" w:rsidRPr="00E874D9" w:rsidTr="0093075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F4" w:rsidRPr="00E874D9" w:rsidRDefault="00E17DF4" w:rsidP="00930752">
            <w:pPr>
              <w:rPr>
                <w:rFonts w:ascii="宋体" w:hAnsi="宋体"/>
                <w:sz w:val="24"/>
              </w:rPr>
            </w:pPr>
            <w:r w:rsidRPr="00E874D9">
              <w:rPr>
                <w:rFonts w:ascii="宋体" w:hAnsi="宋体" w:hint="eastAsia"/>
                <w:sz w:val="24"/>
              </w:rPr>
              <w:t>考试总分：</w:t>
            </w:r>
            <w:r w:rsidRPr="007B632B">
              <w:rPr>
                <w:rFonts w:ascii="宋体" w:hAnsi="宋体" w:hint="eastAsia"/>
                <w:sz w:val="24"/>
                <w:highlight w:val="yellow"/>
              </w:rPr>
              <w:t>1</w:t>
            </w:r>
            <w:r w:rsidR="00673E09">
              <w:rPr>
                <w:rFonts w:ascii="宋体" w:hAnsi="宋体" w:hint="eastAsia"/>
                <w:sz w:val="24"/>
                <w:highlight w:val="yellow"/>
              </w:rPr>
              <w:t>0</w:t>
            </w:r>
            <w:r w:rsidRPr="007B632B">
              <w:rPr>
                <w:rFonts w:ascii="宋体" w:hAnsi="宋体" w:hint="eastAsia"/>
                <w:sz w:val="24"/>
                <w:highlight w:val="yellow"/>
              </w:rPr>
              <w:t>0</w:t>
            </w:r>
            <w:r w:rsidRPr="00E874D9">
              <w:rPr>
                <w:rFonts w:ascii="宋体" w:hAnsi="宋体" w:hint="eastAsia"/>
                <w:sz w:val="24"/>
              </w:rPr>
              <w:t>分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</w:t>
            </w:r>
            <w:r w:rsidRPr="00E874D9">
              <w:rPr>
                <w:rFonts w:ascii="宋体" w:hAnsi="宋体" w:hint="eastAsia"/>
                <w:sz w:val="24"/>
              </w:rPr>
              <w:t>考试时间：</w:t>
            </w:r>
            <w:r w:rsidR="00673E09">
              <w:rPr>
                <w:rFonts w:ascii="宋体" w:hAnsi="宋体" w:hint="eastAsia"/>
                <w:sz w:val="24"/>
              </w:rPr>
              <w:t>2</w:t>
            </w:r>
            <w:r w:rsidRPr="00E874D9">
              <w:rPr>
                <w:rFonts w:ascii="宋体" w:hAnsi="宋体" w:hint="eastAsia"/>
                <w:sz w:val="24"/>
              </w:rPr>
              <w:t>小时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</w:t>
            </w:r>
            <w:r w:rsidRPr="00E874D9">
              <w:rPr>
                <w:rFonts w:ascii="宋体" w:hAnsi="宋体" w:hint="eastAsia"/>
                <w:sz w:val="24"/>
              </w:rPr>
              <w:t>考试方式：笔试</w:t>
            </w:r>
          </w:p>
          <w:p w:rsidR="00E17DF4" w:rsidRPr="00E874D9" w:rsidRDefault="00E17DF4" w:rsidP="00930752">
            <w:pPr>
              <w:pStyle w:val="2"/>
              <w:rPr>
                <w:szCs w:val="24"/>
              </w:rPr>
            </w:pPr>
            <w:r w:rsidRPr="00E874D9">
              <w:rPr>
                <w:rFonts w:hint="eastAsia"/>
                <w:szCs w:val="24"/>
              </w:rPr>
              <w:t>考试题型：</w:t>
            </w:r>
            <w:r>
              <w:rPr>
                <w:rFonts w:hint="eastAsia"/>
                <w:szCs w:val="24"/>
              </w:rPr>
              <w:t xml:space="preserve"> </w:t>
            </w:r>
            <w:r w:rsidR="005D5F32">
              <w:rPr>
                <w:rFonts w:hint="eastAsia"/>
                <w:szCs w:val="24"/>
              </w:rPr>
              <w:t>填空或者选择</w:t>
            </w:r>
            <w:bookmarkStart w:id="0" w:name="_GoBack"/>
            <w:bookmarkEnd w:id="0"/>
            <w:r w:rsidRPr="00E874D9">
              <w:rPr>
                <w:rFonts w:hint="eastAsia"/>
                <w:szCs w:val="24"/>
              </w:rPr>
              <w:t>题（</w:t>
            </w:r>
            <w:r w:rsidR="005D5F32">
              <w:rPr>
                <w:rFonts w:hint="eastAsia"/>
                <w:szCs w:val="24"/>
              </w:rPr>
              <w:t>3</w:t>
            </w:r>
            <w:r w:rsidRPr="00E874D9">
              <w:rPr>
                <w:rFonts w:hint="eastAsia"/>
                <w:szCs w:val="24"/>
              </w:rPr>
              <w:t>0分）</w:t>
            </w:r>
          </w:p>
          <w:p w:rsidR="00E17DF4" w:rsidRDefault="005D5F32" w:rsidP="00930752">
            <w:pPr>
              <w:pStyle w:val="2"/>
              <w:ind w:firstLineChars="550" w:firstLine="1320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简答</w:t>
            </w:r>
            <w:r w:rsidR="00E17DF4" w:rsidRPr="00E874D9">
              <w:rPr>
                <w:rFonts w:hAnsi="宋体" w:hint="eastAsia"/>
                <w:szCs w:val="24"/>
              </w:rPr>
              <w:t>题（</w:t>
            </w:r>
            <w:r>
              <w:rPr>
                <w:rFonts w:hAnsi="宋体" w:hint="eastAsia"/>
                <w:szCs w:val="24"/>
              </w:rPr>
              <w:t>30</w:t>
            </w:r>
            <w:r w:rsidR="00E17DF4" w:rsidRPr="00E874D9">
              <w:rPr>
                <w:rFonts w:hAnsi="宋体" w:hint="eastAsia"/>
                <w:szCs w:val="24"/>
              </w:rPr>
              <w:t>分）</w:t>
            </w:r>
          </w:p>
          <w:p w:rsidR="005D5F32" w:rsidRPr="005D5F32" w:rsidRDefault="005D5F32" w:rsidP="00930752">
            <w:pPr>
              <w:pStyle w:val="2"/>
              <w:ind w:firstLineChars="550" w:firstLine="1320"/>
              <w:rPr>
                <w:rFonts w:hAnsi="宋体" w:hint="eastAsia"/>
                <w:szCs w:val="24"/>
              </w:rPr>
            </w:pPr>
            <w:r>
              <w:rPr>
                <w:rFonts w:hAnsi="宋体" w:hint="eastAsia"/>
                <w:szCs w:val="24"/>
              </w:rPr>
              <w:t>画图分析计算题（40分）</w:t>
            </w:r>
          </w:p>
        </w:tc>
      </w:tr>
      <w:tr w:rsidR="00E17DF4" w:rsidRPr="00E874D9" w:rsidTr="0093075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F4" w:rsidRPr="00E874D9" w:rsidRDefault="00E17DF4" w:rsidP="00930752">
            <w:pPr>
              <w:rPr>
                <w:rFonts w:ascii="宋体" w:hAnsi="宋体"/>
                <w:sz w:val="24"/>
              </w:rPr>
            </w:pPr>
            <w:r w:rsidRPr="00E874D9">
              <w:rPr>
                <w:rFonts w:ascii="宋体" w:hAnsi="宋体" w:hint="eastAsia"/>
                <w:sz w:val="24"/>
              </w:rPr>
              <w:t>参考书目（材料）</w:t>
            </w:r>
          </w:p>
          <w:p w:rsidR="00673E09" w:rsidRDefault="00673E09" w:rsidP="00673E09">
            <w:pPr>
              <w:numPr>
                <w:ilvl w:val="0"/>
                <w:numId w:val="8"/>
              </w:numPr>
              <w:spacing w:line="500" w:lineRule="exact"/>
              <w:rPr>
                <w:bCs/>
                <w:szCs w:val="21"/>
              </w:rPr>
            </w:pPr>
            <w:r>
              <w:rPr>
                <w:rFonts w:hAnsi="宋体"/>
              </w:rPr>
              <w:t>李荻</w:t>
            </w:r>
            <w:r>
              <w:rPr>
                <w:rFonts w:hAnsi="宋体" w:hint="eastAsia"/>
              </w:rPr>
              <w:t>，李松梅</w:t>
            </w:r>
            <w:r>
              <w:rPr>
                <w:rFonts w:hAnsi="宋体"/>
              </w:rPr>
              <w:t>主编</w:t>
            </w:r>
            <w:r>
              <w:t>.</w:t>
            </w:r>
            <w:r>
              <w:rPr>
                <w:rFonts w:hAnsi="宋体"/>
              </w:rPr>
              <w:t>《电化学原理》（第</w:t>
            </w:r>
            <w:r>
              <w:rPr>
                <w:rFonts w:hint="eastAsia"/>
              </w:rPr>
              <w:t>4</w:t>
            </w:r>
            <w:r>
              <w:rPr>
                <w:rFonts w:hAnsi="宋体"/>
              </w:rPr>
              <w:t>版）</w:t>
            </w:r>
            <w:r>
              <w:t xml:space="preserve">. </w:t>
            </w:r>
            <w:r>
              <w:rPr>
                <w:rFonts w:hAnsi="宋体"/>
              </w:rPr>
              <w:t>北京航空航天大学出版社，</w:t>
            </w:r>
            <w:r>
              <w:t>20</w:t>
            </w:r>
            <w:r>
              <w:rPr>
                <w:rFonts w:hint="eastAsia"/>
              </w:rPr>
              <w:t>21</w:t>
            </w:r>
            <w:r>
              <w:t>.</w:t>
            </w:r>
          </w:p>
          <w:p w:rsidR="00E17DF4" w:rsidRPr="00516971" w:rsidRDefault="00673E09" w:rsidP="00930752">
            <w:pPr>
              <w:numPr>
                <w:ilvl w:val="0"/>
                <w:numId w:val="8"/>
              </w:numPr>
              <w:spacing w:line="500" w:lineRule="exact"/>
              <w:rPr>
                <w:bCs/>
                <w:szCs w:val="21"/>
              </w:rPr>
            </w:pPr>
            <w:proofErr w:type="gramStart"/>
            <w:r>
              <w:rPr>
                <w:rFonts w:hAnsi="宋体"/>
              </w:rPr>
              <w:t>查全性著</w:t>
            </w:r>
            <w:proofErr w:type="gramEnd"/>
            <w:r>
              <w:t>.</w:t>
            </w:r>
            <w:r>
              <w:rPr>
                <w:rFonts w:hAnsi="宋体"/>
              </w:rPr>
              <w:t>《电极过程动力学导论》（第三版）</w:t>
            </w:r>
            <w:r>
              <w:t xml:space="preserve">. </w:t>
            </w:r>
            <w:r>
              <w:rPr>
                <w:rFonts w:hAnsi="宋体"/>
              </w:rPr>
              <w:t>科学出版社，</w:t>
            </w:r>
            <w:r>
              <w:t>2004.</w:t>
            </w:r>
          </w:p>
          <w:p w:rsidR="00E17DF4" w:rsidRPr="00E874D9" w:rsidRDefault="00E17DF4" w:rsidP="00930752">
            <w:pPr>
              <w:rPr>
                <w:rFonts w:ascii="宋体" w:hAnsi="宋体"/>
                <w:sz w:val="24"/>
              </w:rPr>
            </w:pPr>
          </w:p>
        </w:tc>
      </w:tr>
    </w:tbl>
    <w:p w:rsidR="0010346F" w:rsidRDefault="0010346F"/>
    <w:sectPr w:rsidR="001034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087B" w:rsidRDefault="0053087B" w:rsidP="00E17DF4">
      <w:r>
        <w:separator/>
      </w:r>
    </w:p>
  </w:endnote>
  <w:endnote w:type="continuationSeparator" w:id="0">
    <w:p w:rsidR="0053087B" w:rsidRDefault="0053087B" w:rsidP="00E17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087B" w:rsidRDefault="0053087B" w:rsidP="00E17DF4">
      <w:r>
        <w:separator/>
      </w:r>
    </w:p>
  </w:footnote>
  <w:footnote w:type="continuationSeparator" w:id="0">
    <w:p w:rsidR="0053087B" w:rsidRDefault="0053087B" w:rsidP="00E17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 w15:restartNumberingAfterBreak="0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 w15:restartNumberingAfterBreak="0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 w15:restartNumberingAfterBreak="0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7" w15:restartNumberingAfterBreak="0">
    <w:nsid w:val="083D30B9"/>
    <w:multiLevelType w:val="multilevel"/>
    <w:tmpl w:val="083D30B9"/>
    <w:lvl w:ilvl="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31842F3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469"/>
    <w:rsid w:val="0010346F"/>
    <w:rsid w:val="002B007F"/>
    <w:rsid w:val="00447469"/>
    <w:rsid w:val="00516971"/>
    <w:rsid w:val="0053087B"/>
    <w:rsid w:val="00547F5C"/>
    <w:rsid w:val="005D5F32"/>
    <w:rsid w:val="00673E09"/>
    <w:rsid w:val="00B72EC2"/>
    <w:rsid w:val="00C320AD"/>
    <w:rsid w:val="00DD184A"/>
    <w:rsid w:val="00E1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572367"/>
  <w15:chartTrackingRefBased/>
  <w15:docId w15:val="{274C3E35-C59C-4073-BADC-9691236A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7D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7D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7D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7D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7DF4"/>
    <w:rPr>
      <w:sz w:val="18"/>
      <w:szCs w:val="18"/>
    </w:rPr>
  </w:style>
  <w:style w:type="paragraph" w:styleId="2">
    <w:name w:val="Body Text 2"/>
    <w:basedOn w:val="a"/>
    <w:link w:val="20"/>
    <w:rsid w:val="00E17DF4"/>
    <w:rPr>
      <w:rFonts w:ascii="宋体"/>
      <w:sz w:val="24"/>
      <w:szCs w:val="20"/>
    </w:rPr>
  </w:style>
  <w:style w:type="character" w:customStyle="1" w:styleId="20">
    <w:name w:val="正文文本 2 字符"/>
    <w:basedOn w:val="a0"/>
    <w:link w:val="2"/>
    <w:rsid w:val="00E17DF4"/>
    <w:rPr>
      <w:rFonts w:ascii="宋体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XZB</dc:creator>
  <cp:keywords/>
  <dc:description/>
  <cp:lastModifiedBy>Hank-Liu</cp:lastModifiedBy>
  <cp:revision>4</cp:revision>
  <dcterms:created xsi:type="dcterms:W3CDTF">2025-03-11T02:44:00Z</dcterms:created>
  <dcterms:modified xsi:type="dcterms:W3CDTF">2025-03-11T11:46:00Z</dcterms:modified>
</cp:coreProperties>
</file>